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2026/83392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 Hidrolik sistem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 Hidrolik sistem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5W30 Ağır Vasıta Tam Sentetik 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10W40 Ağır Vasıta Tam Sentetik  Turbo Dizel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15W40 Ağır Vasıta Turbo Dizel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20W50 Ağır Vasıta Turbo Dizel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75W80 Ağır Vasıta 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80W90 Ağır Vasıta Şanzıman Yağı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85W140 Ağır Vasıta Diferansiyel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80W İş Makinesi Şanzıman ve Hidrolik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10W30 İş Makinesi Şanzıman, Diferansiyel ve Hidrolik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30 İş Makinesi 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Numara Gres Yağ (Sarı renkli lityum sabunlu) (İş Makinesi)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Numara Kauçuklu Gres Yağ  (İş Makinesi)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 (Yüksek Sıcaklığa Dayanıklı-Teker Bilyası İçin)  (Ağır Vasıta)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Transmisyon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Fren Yağı Dot 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Antifiriz Motor Soğutma Sıvısı (Yeşil-Mavi Renkli Antifiriz) (Ağır Vasıta)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